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3085953B"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r w:rsidR="009B31A3">
              <w:rPr>
                <w:rFonts w:asciiTheme="majorBidi" w:hAnsiTheme="majorBidi" w:cstheme="majorBidi"/>
                <w:b/>
                <w:bCs/>
                <w:sz w:val="36"/>
                <w:szCs w:val="36"/>
              </w:rPr>
              <w:t xml:space="preserve">Cisco </w:t>
            </w:r>
            <w:proofErr w:type="spellStart"/>
            <w:r w:rsidR="009B31A3">
              <w:rPr>
                <w:rFonts w:asciiTheme="majorBidi" w:hAnsiTheme="majorBidi" w:cstheme="majorBidi"/>
                <w:b/>
                <w:bCs/>
                <w:sz w:val="36"/>
                <w:szCs w:val="36"/>
              </w:rPr>
              <w:t>EoL</w:t>
            </w:r>
            <w:proofErr w:type="spellEnd"/>
            <w:r w:rsidR="009B31A3">
              <w:rPr>
                <w:rFonts w:asciiTheme="majorBidi" w:hAnsiTheme="majorBidi" w:cstheme="majorBidi"/>
                <w:b/>
                <w:bCs/>
                <w:sz w:val="36"/>
                <w:szCs w:val="36"/>
              </w:rPr>
              <w:t xml:space="preserve"> Devices Replacement</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467A8E18"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9B31A3">
              <w:rPr>
                <w:rFonts w:asciiTheme="majorBidi" w:hAnsiTheme="majorBidi" w:cstheme="majorBidi"/>
              </w:rPr>
              <w:t>552</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0872EF09" w:rsidR="00C300BA" w:rsidRPr="004F06A1" w:rsidRDefault="009B31A3" w:rsidP="002238C0">
            <w:pPr>
              <w:spacing w:line="276" w:lineRule="auto"/>
              <w:rPr>
                <w:rFonts w:asciiTheme="majorBidi" w:hAnsiTheme="majorBidi" w:cstheme="majorBidi"/>
              </w:rPr>
            </w:pPr>
            <w:r>
              <w:rPr>
                <w:rFonts w:asciiTheme="majorBidi" w:hAnsiTheme="majorBidi" w:cstheme="majorBidi"/>
              </w:rPr>
              <w:t xml:space="preserve">Cisco </w:t>
            </w:r>
            <w:proofErr w:type="spellStart"/>
            <w:r>
              <w:rPr>
                <w:rFonts w:asciiTheme="majorBidi" w:hAnsiTheme="majorBidi" w:cstheme="majorBidi"/>
              </w:rPr>
              <w:t>EoL</w:t>
            </w:r>
            <w:proofErr w:type="spellEnd"/>
            <w:r>
              <w:rPr>
                <w:rFonts w:asciiTheme="majorBidi" w:hAnsiTheme="majorBidi" w:cstheme="majorBidi"/>
              </w:rPr>
              <w:t xml:space="preserve"> Devices Replacement</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3750CD7B" w14:textId="77777777" w:rsidR="009B31A3" w:rsidRPr="009B31A3" w:rsidRDefault="009B31A3" w:rsidP="009B31A3">
            <w:pPr>
              <w:ind w:hanging="2"/>
              <w:jc w:val="right"/>
              <w:rPr>
                <w:rFonts w:asciiTheme="majorBidi" w:eastAsia="Times New Roman" w:hAnsiTheme="majorBidi" w:cstheme="majorBidi"/>
                <w:color w:val="000000"/>
                <w:sz w:val="24"/>
                <w:szCs w:val="24"/>
              </w:rPr>
            </w:pPr>
            <w:bookmarkStart w:id="1" w:name="_Hlk164082794"/>
            <w:bookmarkStart w:id="2" w:name="_Hlk168488037"/>
            <w:r w:rsidRPr="009B31A3">
              <w:rPr>
                <w:rFonts w:asciiTheme="majorBidi" w:eastAsia="Times New Roman" w:hAnsiTheme="majorBidi" w:cstheme="majorBidi"/>
                <w:color w:val="000000"/>
                <w:sz w:val="24"/>
                <w:szCs w:val="24"/>
                <w:lang w:val="en-GB"/>
              </w:rPr>
              <w:t xml:space="preserve">Replacement of Cisco devices that reached their end of life with equivalent Cisco ones. </w:t>
            </w:r>
          </w:p>
          <w:bookmarkEnd w:id="1"/>
          <w:p w14:paraId="1566B640" w14:textId="480F5A95" w:rsidR="00C300BA" w:rsidRPr="004F06A1" w:rsidRDefault="009B31A3" w:rsidP="005B094C">
            <w:pPr>
              <w:ind w:hanging="2"/>
              <w:jc w:val="right"/>
              <w:rPr>
                <w:rFonts w:asciiTheme="majorBidi" w:hAnsiTheme="majorBidi" w:cstheme="majorBidi"/>
              </w:rPr>
            </w:pPr>
            <w:r w:rsidRPr="009B31A3">
              <w:rPr>
                <w:rFonts w:asciiTheme="majorBidi" w:eastAsia="Times New Roman" w:hAnsiTheme="majorBidi" w:cstheme="majorBidi"/>
                <w:color w:val="000000"/>
                <w:sz w:val="24"/>
                <w:szCs w:val="24"/>
                <w:lang w:val="en-GB"/>
              </w:rPr>
              <w:t>Eligible bidders must be certified Cisco Gold partners in Lebanon.</w:t>
            </w:r>
            <w:bookmarkEnd w:id="2"/>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C8565E"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7BCAA0A5" w:rsidR="00C300BA" w:rsidRPr="00C8565E" w:rsidRDefault="005B094C" w:rsidP="002238C0">
            <w:pPr>
              <w:spacing w:line="276" w:lineRule="auto"/>
              <w:rPr>
                <w:rFonts w:asciiTheme="majorBidi" w:hAnsiTheme="majorBidi" w:cstheme="majorBidi"/>
                <w:rtl/>
                <w:lang w:bidi="ar-LB"/>
              </w:rPr>
            </w:pPr>
            <w:r w:rsidRPr="005B094C">
              <w:rPr>
                <w:rFonts w:asciiTheme="majorBidi" w:hAnsiTheme="majorBidi" w:cs="Times New Roman"/>
                <w:rtl/>
              </w:rPr>
              <w:t>لوازم</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3AD9F7C7" w:rsidR="00DC0F45" w:rsidRPr="004F06A1" w:rsidRDefault="005B094C" w:rsidP="00DC54D9">
            <w:pPr>
              <w:spacing w:line="276" w:lineRule="auto"/>
              <w:rPr>
                <w:rFonts w:asciiTheme="majorBidi" w:hAnsiTheme="majorBidi" w:cstheme="majorBidi"/>
                <w:rtl/>
              </w:rPr>
            </w:pPr>
            <w:r>
              <w:rPr>
                <w:rFonts w:asciiTheme="majorBidi" w:hAnsiTheme="majorBidi" w:cstheme="majorBidi"/>
              </w:rPr>
              <w:t>6</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375CE6B1" w:rsidR="00C300BA" w:rsidRPr="00C8565E" w:rsidRDefault="004E3BDD" w:rsidP="00A733CD">
            <w:pPr>
              <w:spacing w:line="276" w:lineRule="auto"/>
              <w:rPr>
                <w:rFonts w:asciiTheme="majorBidi" w:hAnsiTheme="majorBidi" w:cstheme="majorBidi"/>
              </w:rPr>
            </w:pPr>
            <w:r>
              <w:rPr>
                <w:rFonts w:asciiTheme="majorBidi" w:hAnsiTheme="majorBidi" w:cstheme="majorBidi"/>
              </w:rPr>
              <w:t>3% of the total offer amount</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04289288" w:rsidR="005A51C6" w:rsidRPr="00C8565E" w:rsidRDefault="005B094C" w:rsidP="005A51C6">
            <w:pPr>
              <w:spacing w:line="276" w:lineRule="auto"/>
              <w:rPr>
                <w:rFonts w:asciiTheme="majorBidi" w:hAnsiTheme="majorBidi" w:cstheme="majorBidi"/>
                <w:rtl/>
              </w:rPr>
            </w:pPr>
            <w:r>
              <w:rPr>
                <w:rFonts w:asciiTheme="majorBidi" w:hAnsiTheme="majorBidi" w:cstheme="majorBidi"/>
              </w:rPr>
              <w:t>208</w:t>
            </w:r>
            <w:r w:rsidR="005A51C6" w:rsidRPr="004F06A1">
              <w:rPr>
                <w:rFonts w:asciiTheme="majorBidi" w:hAnsiTheme="majorBidi" w:cstheme="majorBidi"/>
              </w:rPr>
              <w:t xml:space="preserve">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72F36B31" w:rsidR="005A51C6" w:rsidRPr="004F06A1" w:rsidRDefault="004E3BDD" w:rsidP="005A51C6">
            <w:pPr>
              <w:spacing w:line="276" w:lineRule="auto"/>
              <w:rPr>
                <w:rFonts w:asciiTheme="majorBidi" w:hAnsiTheme="majorBidi" w:cstheme="majorBidi"/>
                <w:rtl/>
                <w:lang w:bidi="ar-LB"/>
              </w:rPr>
            </w:pPr>
            <w:r>
              <w:rPr>
                <w:rFonts w:asciiTheme="majorBidi" w:hAnsiTheme="majorBidi" w:cstheme="majorBidi"/>
              </w:rPr>
              <w:t>5</w:t>
            </w:r>
            <w:r w:rsidR="005A51C6" w:rsidRPr="004F06A1">
              <w:rPr>
                <w:rFonts w:asciiTheme="majorBidi" w:hAnsiTheme="majorBidi" w:cstheme="majorBidi"/>
              </w:rPr>
              <w:t xml:space="preserve">% of the </w:t>
            </w:r>
            <w:r w:rsidR="00732DEA">
              <w:rPr>
                <w:rFonts w:asciiTheme="majorBidi" w:hAnsiTheme="majorBidi" w:cstheme="majorBidi"/>
              </w:rPr>
              <w:t xml:space="preserve">total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2BBCD403" w:rsidR="005A51C6" w:rsidRPr="00C8565E" w:rsidRDefault="004F319F" w:rsidP="005A51C6">
            <w:pPr>
              <w:spacing w:line="276" w:lineRule="auto"/>
              <w:rPr>
                <w:rFonts w:asciiTheme="majorBidi" w:hAnsiTheme="majorBidi" w:cstheme="majorBidi"/>
              </w:rPr>
            </w:pPr>
            <w:r w:rsidRPr="004F319F">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11E1AA55"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7BCCB76B"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541840C4"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r w:rsidR="009B31A3">
        <w:rPr>
          <w:rFonts w:asciiTheme="majorBidi" w:eastAsia="Cambria" w:hAnsiTheme="majorBidi" w:cstheme="majorBidi"/>
          <w:color w:val="000000"/>
        </w:rPr>
        <w:t xml:space="preserve">Cisco </w:t>
      </w:r>
      <w:proofErr w:type="spellStart"/>
      <w:r w:rsidR="009B31A3">
        <w:rPr>
          <w:rFonts w:asciiTheme="majorBidi" w:eastAsia="Cambria" w:hAnsiTheme="majorBidi" w:cstheme="majorBidi"/>
          <w:color w:val="000000"/>
        </w:rPr>
        <w:t>EoL</w:t>
      </w:r>
      <w:proofErr w:type="spellEnd"/>
      <w:r w:rsidR="009B31A3">
        <w:rPr>
          <w:rFonts w:asciiTheme="majorBidi" w:eastAsia="Cambria" w:hAnsiTheme="majorBidi" w:cstheme="majorBidi"/>
          <w:color w:val="000000"/>
        </w:rPr>
        <w:t xml:space="preserve"> Devices Replacement</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3"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3"/>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031ECC4C" w14:textId="77777777" w:rsidR="004E3BDD" w:rsidRPr="009B31A3" w:rsidRDefault="004E3BDD" w:rsidP="004E3BDD">
      <w:pPr>
        <w:ind w:hanging="2"/>
        <w:jc w:val="right"/>
        <w:rPr>
          <w:rFonts w:asciiTheme="majorBidi" w:eastAsia="Times New Roman" w:hAnsiTheme="majorBidi" w:cstheme="majorBidi"/>
          <w:color w:val="000000"/>
          <w:sz w:val="24"/>
          <w:szCs w:val="24"/>
        </w:rPr>
      </w:pPr>
      <w:r w:rsidRPr="009B31A3">
        <w:rPr>
          <w:rFonts w:asciiTheme="majorBidi" w:eastAsia="Times New Roman" w:hAnsiTheme="majorBidi" w:cstheme="majorBidi"/>
          <w:color w:val="000000"/>
          <w:sz w:val="24"/>
          <w:szCs w:val="24"/>
          <w:lang w:val="en-GB"/>
        </w:rPr>
        <w:t xml:space="preserve">Replacement of Cisco devices that reached their end of life with equivalent Cisco ones. </w:t>
      </w:r>
    </w:p>
    <w:p w14:paraId="6D4B4616" w14:textId="4F903961" w:rsidR="005B094C" w:rsidRDefault="004E3BDD" w:rsidP="004E3BDD">
      <w:pPr>
        <w:jc w:val="right"/>
        <w:rPr>
          <w:rFonts w:asciiTheme="majorBidi" w:eastAsia="Times New Roman" w:hAnsiTheme="majorBidi" w:cstheme="majorBidi"/>
          <w:color w:val="000000"/>
          <w:sz w:val="24"/>
          <w:szCs w:val="24"/>
          <w:lang w:val="en-GB"/>
        </w:rPr>
      </w:pPr>
      <w:r w:rsidRPr="009B31A3">
        <w:rPr>
          <w:rFonts w:asciiTheme="majorBidi" w:eastAsia="Times New Roman" w:hAnsiTheme="majorBidi" w:cstheme="majorBidi"/>
          <w:color w:val="000000"/>
          <w:sz w:val="24"/>
          <w:szCs w:val="24"/>
          <w:lang w:val="en-GB"/>
        </w:rPr>
        <w:t>Eligible bidders must be certified Cisco Gold partners in Lebanon.</w:t>
      </w:r>
    </w:p>
    <w:p w14:paraId="7E48BCF6" w14:textId="77777777" w:rsidR="004E3BDD" w:rsidRPr="004F06A1" w:rsidRDefault="004E3BDD" w:rsidP="004E3BDD">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5EB49EB3"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يجري التلزيم بطريقة المناقصة</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02D0D7A" w14:textId="77777777" w:rsidR="001408B6" w:rsidRDefault="001408B6" w:rsidP="001408B6">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432326B4"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5B094C" w:rsidRPr="005B094C">
        <w:rPr>
          <w:rFonts w:asciiTheme="majorBidi" w:eastAsia="Times New Roman" w:hAnsiTheme="majorBidi" w:cs="Times New Roman"/>
          <w:b/>
          <w:bCs/>
          <w:i/>
          <w:iCs/>
          <w:rtl/>
          <w:lang w:bidi="ar-LB"/>
        </w:rPr>
        <w:t>ستة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lastRenderedPageBreak/>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3657E513"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4E3BDD">
        <w:rPr>
          <w:rFonts w:asciiTheme="majorBidi" w:hAnsiTheme="majorBidi" w:cstheme="majorBidi"/>
          <w:b/>
          <w:color w:val="000000"/>
        </w:rPr>
        <w:t>3% of the total offer amount</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4" w:name="_heading=h.gjdgxs" w:colFirst="0" w:colLast="0"/>
      <w:bookmarkEnd w:id="4"/>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2AA54C81"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5" w:name="_heading=h.30j0zll" w:colFirst="0" w:colLast="0"/>
      <w:bookmarkEnd w:id="5"/>
      <w:r w:rsidRPr="00EB2DBD">
        <w:rPr>
          <w:rFonts w:asciiTheme="majorBidi" w:hAnsiTheme="majorBidi" w:cstheme="majorBidi"/>
          <w:rtl/>
        </w:rPr>
        <w:t xml:space="preserve">تحدد قيمة ضمان حسن التنفيذ بنسبة </w:t>
      </w:r>
      <w:r w:rsidR="004E3BDD">
        <w:rPr>
          <w:rFonts w:asciiTheme="majorBidi" w:hAnsiTheme="majorBidi" w:cstheme="majorBidi"/>
        </w:rPr>
        <w:t>5</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1fob9te" w:colFirst="0" w:colLast="0"/>
      <w:bookmarkEnd w:id="6"/>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6FB1C3CC"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r w:rsidR="009B31A3">
        <w:rPr>
          <w:rFonts w:asciiTheme="majorBidi" w:hAnsiTheme="majorBidi" w:cstheme="majorBidi"/>
          <w:b/>
          <w:sz w:val="28"/>
          <w:szCs w:val="28"/>
        </w:rPr>
        <w:t xml:space="preserve">Cisco </w:t>
      </w:r>
      <w:proofErr w:type="spellStart"/>
      <w:r w:rsidR="009B31A3">
        <w:rPr>
          <w:rFonts w:asciiTheme="majorBidi" w:hAnsiTheme="majorBidi" w:cstheme="majorBidi"/>
          <w:b/>
          <w:sz w:val="28"/>
          <w:szCs w:val="28"/>
        </w:rPr>
        <w:t>EoL</w:t>
      </w:r>
      <w:proofErr w:type="spellEnd"/>
      <w:r w:rsidR="009B31A3">
        <w:rPr>
          <w:rFonts w:asciiTheme="majorBidi" w:hAnsiTheme="majorBidi" w:cstheme="majorBidi"/>
          <w:b/>
          <w:sz w:val="28"/>
          <w:szCs w:val="28"/>
        </w:rPr>
        <w:t xml:space="preserve"> Devices Replacement</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Pr>
          <w:rFonts w:asciiTheme="majorBidi" w:eastAsia="Cambria" w:hAnsiTheme="majorBidi" w:cstheme="majorBidi"/>
          <w:color w:val="000000"/>
        </w:rPr>
        <w:t>MIC1</w:t>
      </w:r>
      <w:r w:rsidRPr="002238C0">
        <w:rPr>
          <w:rFonts w:asciiTheme="majorBidi" w:eastAsia="Cambria" w:hAnsiTheme="majorBidi" w:cstheme="majorBidi"/>
          <w:color w:val="000000"/>
          <w:rtl/>
        </w:rPr>
        <w:t>).</w:t>
      </w:r>
    </w:p>
    <w:p w14:paraId="1B37E1AB" w14:textId="7D80E341" w:rsidR="00B16FBC" w:rsidRPr="002238C0"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7109F7" w:rsidRPr="002238C0">
        <w:rPr>
          <w:rFonts w:asciiTheme="majorBidi" w:eastAsia="Cambria" w:hAnsiTheme="majorBidi" w:cstheme="majorBidi"/>
          <w:color w:val="000000"/>
          <w:highlight w:val="yellow"/>
          <w:rtl/>
        </w:rPr>
        <w:t>(</w:t>
      </w:r>
      <w:r w:rsidR="00DC4A2E">
        <w:rPr>
          <w:rFonts w:asciiTheme="majorBidi" w:eastAsia="Cambria" w:hAnsiTheme="majorBidi" w:cstheme="majorBidi"/>
          <w:color w:val="000000"/>
        </w:rPr>
        <w:t xml:space="preserve">ALFA MIC1 </w:t>
      </w:r>
      <w:proofErr w:type="spellStart"/>
      <w:r w:rsidR="00DC4A2E">
        <w:rPr>
          <w:rFonts w:asciiTheme="majorBidi" w:eastAsia="Cambria" w:hAnsiTheme="majorBidi" w:cstheme="majorBidi"/>
          <w:color w:val="000000"/>
        </w:rPr>
        <w:t>Dekouaneh</w:t>
      </w:r>
      <w:proofErr w:type="spellEnd"/>
      <w:r w:rsidR="00DC4A2E">
        <w:rPr>
          <w:rFonts w:asciiTheme="majorBidi" w:eastAsia="Cambria" w:hAnsiTheme="majorBidi" w:cstheme="majorBidi"/>
          <w:color w:val="000000"/>
        </w:rPr>
        <w:t xml:space="preserve"> - Reception at Parallel Towers Bloc A</w:t>
      </w:r>
      <w:r w:rsidR="00C74408" w:rsidRPr="002238C0">
        <w:rPr>
          <w:rFonts w:asciiTheme="majorBidi" w:eastAsia="Cambria" w:hAnsiTheme="majorBidi" w:cstheme="majorBidi"/>
          <w:color w:val="000000"/>
          <w:highlight w:val="yellow"/>
          <w:rtl/>
        </w:rPr>
        <w:t>).</w:t>
      </w:r>
    </w:p>
    <w:p w14:paraId="49D91BD6" w14:textId="220AFD91"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r w:rsidR="00C22900">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7"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7"/>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8" w:name="_heading=h.2grqrue" w:colFirst="0" w:colLast="0"/>
      <w:bookmarkEnd w:id="8"/>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9" w:name="_heading=h.1ksv4uv" w:colFirst="0" w:colLast="0"/>
      <w:bookmarkEnd w:id="9"/>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0" w:name="_heading=h.35nkun2" w:colFirst="0" w:colLast="0"/>
      <w:bookmarkEnd w:id="10"/>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1" w:name="_heading=h.44sinio" w:colFirst="0" w:colLast="0"/>
      <w:bookmarkStart w:id="12" w:name="_heading=h.2jxsxqh" w:colFirst="0" w:colLast="0"/>
      <w:bookmarkStart w:id="13" w:name="_heading=h.z337ya" w:colFirst="0" w:colLast="0"/>
      <w:bookmarkEnd w:id="11"/>
      <w:bookmarkEnd w:id="12"/>
      <w:bookmarkEnd w:id="13"/>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4" w:name="_heading=h.3j2qqm3" w:colFirst="0" w:colLast="0"/>
      <w:bookmarkEnd w:id="14"/>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C8565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681DC4">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3E4A57"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5" w:name="_heading=h.4d34og8" w:colFirst="0" w:colLast="0"/>
      <w:bookmarkStart w:id="16" w:name="_heading=h.2s8eyo1" w:colFirst="0" w:colLast="0"/>
      <w:bookmarkStart w:id="17" w:name="_heading=h.17dp8vu" w:colFirst="0" w:colLast="0"/>
      <w:bookmarkEnd w:id="15"/>
      <w:bookmarkEnd w:id="16"/>
      <w:bookmarkEnd w:id="17"/>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3E4A57">
        <w:rPr>
          <w:rFonts w:asciiTheme="majorBidi" w:hAnsiTheme="majorBidi" w:cstheme="majorBidi"/>
          <w:sz w:val="28"/>
          <w:szCs w:val="28"/>
          <w:rtl/>
        </w:rPr>
        <w:t>تنفيذ الأعمال وعليه إتخاذ كافة التدابير لمنع حدوثها.</w:t>
      </w:r>
    </w:p>
    <w:p w14:paraId="32901351" w14:textId="77777777" w:rsidR="00191FF9" w:rsidRPr="003E4A57"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3E4A57">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3E4A57"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3E4A57">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18" w:name="_heading=h.3dy6vkm" w:colFirst="0" w:colLast="0"/>
      <w:bookmarkStart w:id="19" w:name="_heading=h.1t3h5sf" w:colFirst="0" w:colLast="0"/>
      <w:bookmarkEnd w:id="18"/>
      <w:bookmarkEnd w:id="19"/>
      <w:r w:rsidRPr="003E4A57">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3E4A57">
        <w:rPr>
          <w:rFonts w:asciiTheme="majorBidi" w:hAnsiTheme="majorBidi" w:cstheme="majorBidi"/>
          <w:b w:val="0"/>
          <w:bCs/>
          <w:sz w:val="28"/>
          <w:szCs w:val="28"/>
          <w:rtl/>
        </w:rPr>
        <w:t>دفع قيمة العقد</w:t>
      </w:r>
      <w:r w:rsidRPr="003E4A57">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0" w:name="_heading=h.qsh70q" w:colFirst="0" w:colLast="0"/>
      <w:bookmarkEnd w:id="20"/>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681DC4" w:rsidRDefault="00B72D91" w:rsidP="002238C0">
      <w:pPr>
        <w:spacing w:line="276" w:lineRule="auto"/>
        <w:ind w:left="-6"/>
        <w:rPr>
          <w:rFonts w:asciiTheme="majorBidi" w:hAnsiTheme="majorBidi" w:cstheme="majorBidi"/>
        </w:rPr>
      </w:pPr>
      <w:r w:rsidRPr="002238C0">
        <w:rPr>
          <w:rFonts w:asciiTheme="majorBidi" w:hAnsiTheme="majorBidi" w:cstheme="majorBidi"/>
          <w:rtl/>
        </w:rPr>
        <w:t xml:space="preserve">تُفرض الغرامات </w:t>
      </w:r>
      <w:r w:rsidRPr="00681DC4">
        <w:rPr>
          <w:rFonts w:asciiTheme="majorBidi" w:hAnsiTheme="majorBidi" w:cstheme="majorBidi"/>
          <w:rtl/>
        </w:rPr>
        <w:t>بشكلٍ حكمي على الملتزم بمُجرّد مخالفته أحكام العقد دون حاجة لإثبات الضرر.</w:t>
      </w:r>
    </w:p>
    <w:p w14:paraId="5961809D" w14:textId="3DB87944" w:rsidR="00B72D91" w:rsidRDefault="00B72D91" w:rsidP="002238C0">
      <w:pPr>
        <w:spacing w:line="276" w:lineRule="auto"/>
        <w:ind w:left="-6"/>
        <w:rPr>
          <w:rFonts w:asciiTheme="majorBidi" w:hAnsiTheme="majorBidi" w:cstheme="majorBidi"/>
          <w:rtl/>
          <w:lang w:bidi="ar-LB"/>
        </w:rPr>
      </w:pPr>
      <w:r w:rsidRPr="00681DC4">
        <w:rPr>
          <w:rFonts w:asciiTheme="majorBidi" w:hAnsiTheme="majorBidi" w:cstheme="majorBidi"/>
          <w:rtl/>
          <w:lang w:bidi="ar-LB"/>
        </w:rPr>
        <w:t>وتحتسب غرامة</w:t>
      </w:r>
      <w:r w:rsidR="0029524B" w:rsidRPr="00681DC4">
        <w:rPr>
          <w:rFonts w:asciiTheme="majorBidi" w:hAnsiTheme="majorBidi" w:cstheme="majorBidi"/>
          <w:rtl/>
          <w:lang w:bidi="ar-LB"/>
        </w:rPr>
        <w:t xml:space="preserve"> تأخير </w:t>
      </w:r>
      <w:r w:rsidR="00C0460A" w:rsidRPr="00681DC4">
        <w:rPr>
          <w:rFonts w:asciiTheme="majorBidi" w:hAnsiTheme="majorBidi" w:cstheme="majorBidi" w:hint="cs"/>
          <w:rtl/>
          <w:lang w:bidi="ar-LB"/>
        </w:rPr>
        <w:t>نقدية نسبتها</w:t>
      </w:r>
      <w:r w:rsidR="0029524B" w:rsidRPr="00681DC4">
        <w:rPr>
          <w:rFonts w:asciiTheme="majorBidi" w:hAnsiTheme="majorBidi" w:cstheme="majorBidi"/>
          <w:rtl/>
          <w:lang w:bidi="ar-LB"/>
        </w:rPr>
        <w:t xml:space="preserve"> (</w:t>
      </w:r>
      <w:r w:rsidR="00681DC4" w:rsidRPr="00681DC4">
        <w:rPr>
          <w:rFonts w:asciiTheme="majorBidi" w:hAnsiTheme="majorBidi" w:cstheme="majorBidi"/>
          <w:lang w:bidi="ar-LB"/>
        </w:rPr>
        <w:t>1</w:t>
      </w:r>
      <w:r w:rsidR="0029524B" w:rsidRPr="00681DC4">
        <w:rPr>
          <w:rFonts w:asciiTheme="majorBidi" w:hAnsiTheme="majorBidi" w:cstheme="majorBidi"/>
          <w:rtl/>
          <w:lang w:bidi="ar-LB"/>
        </w:rPr>
        <w:t xml:space="preserve">%) </w:t>
      </w:r>
      <w:r w:rsidRPr="00681DC4">
        <w:rPr>
          <w:rFonts w:asciiTheme="majorBidi" w:hAnsiTheme="majorBidi" w:cstheme="majorBidi"/>
          <w:rtl/>
          <w:lang w:bidi="ar-LB"/>
        </w:rPr>
        <w:t xml:space="preserve">من قيمة العقد عن كل </w:t>
      </w:r>
      <w:r w:rsidR="00681DC4" w:rsidRPr="00681DC4">
        <w:rPr>
          <w:rFonts w:asciiTheme="majorBidi" w:hAnsiTheme="majorBidi" w:cs="Times New Roman"/>
          <w:rtl/>
          <w:lang w:bidi="ar-LB"/>
        </w:rPr>
        <w:t>جمعة</w:t>
      </w:r>
      <w:r w:rsidRPr="00681DC4">
        <w:rPr>
          <w:rFonts w:asciiTheme="majorBidi" w:hAnsiTheme="majorBidi" w:cstheme="majorBidi"/>
          <w:rtl/>
          <w:lang w:bidi="ar-LB"/>
        </w:rPr>
        <w:t xml:space="preserve"> تأخير</w:t>
      </w:r>
      <w:r w:rsidR="0029524B" w:rsidRPr="00681DC4">
        <w:rPr>
          <w:rFonts w:asciiTheme="majorBidi" w:hAnsiTheme="majorBidi" w:cstheme="majorBidi"/>
          <w:rtl/>
          <w:lang w:bidi="ar-LB"/>
        </w:rPr>
        <w:t xml:space="preserve"> في انجاز الأعمال المطلوبة</w:t>
      </w:r>
      <w:r w:rsidRPr="00681DC4">
        <w:rPr>
          <w:rFonts w:asciiTheme="majorBidi" w:hAnsiTheme="majorBidi" w:cstheme="majorBidi"/>
          <w:rtl/>
          <w:lang w:bidi="ar-LB"/>
        </w:rPr>
        <w:t>، ويُعتبر كسر النهار نهارًا كاملًا</w:t>
      </w:r>
      <w:r w:rsidR="00C5300A" w:rsidRPr="00681DC4">
        <w:rPr>
          <w:rFonts w:asciiTheme="majorBidi" w:hAnsiTheme="majorBidi" w:cstheme="majorBidi"/>
          <w:rtl/>
          <w:lang w:bidi="ar-LB"/>
        </w:rPr>
        <w:t xml:space="preserve">، على أن لا تزيد هذه الغرامات عن </w:t>
      </w:r>
      <w:r w:rsidR="0029524B" w:rsidRPr="00681DC4">
        <w:rPr>
          <w:rFonts w:asciiTheme="majorBidi" w:hAnsiTheme="majorBidi" w:cstheme="majorBidi"/>
          <w:rtl/>
          <w:lang w:bidi="ar-LB"/>
        </w:rPr>
        <w:t>(</w:t>
      </w:r>
      <w:r w:rsidR="00681DC4" w:rsidRPr="00681DC4">
        <w:rPr>
          <w:rFonts w:asciiTheme="majorBidi" w:hAnsiTheme="majorBidi" w:cstheme="majorBidi"/>
          <w:lang w:bidi="ar-LB"/>
        </w:rPr>
        <w:t>10</w:t>
      </w:r>
      <w:r w:rsidR="0029524B" w:rsidRPr="00681DC4">
        <w:rPr>
          <w:rFonts w:asciiTheme="majorBidi" w:hAnsiTheme="majorBidi" w:cstheme="majorBidi"/>
          <w:rtl/>
          <w:lang w:bidi="ar-LB"/>
        </w:rPr>
        <w:t>%) من قيمة</w:t>
      </w:r>
      <w:r w:rsidR="0029524B" w:rsidRPr="002238C0">
        <w:rPr>
          <w:rFonts w:asciiTheme="majorBidi" w:hAnsiTheme="majorBidi" w:cstheme="majorBidi"/>
          <w:rtl/>
          <w:lang w:bidi="ar-LB"/>
        </w:rPr>
        <w:t xml:space="preserve">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1" w:name="_heading=h.2xcytpi" w:colFirst="0" w:colLast="0"/>
      <w:bookmarkEnd w:id="21"/>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2" w:name="_heading=h.1ci93xb" w:colFirst="0" w:colLast="0"/>
      <w:bookmarkStart w:id="23" w:name="_heading=h.3whwml4" w:colFirst="0" w:colLast="0"/>
      <w:bookmarkStart w:id="24" w:name="_heading=h.2bn6wsx" w:colFirst="0" w:colLast="0"/>
      <w:bookmarkEnd w:id="22"/>
      <w:bookmarkEnd w:id="23"/>
      <w:bookmarkEnd w:id="24"/>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5" w:name="_heading=h.3as4poj" w:colFirst="0" w:colLast="0"/>
      <w:bookmarkEnd w:id="25"/>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6" w:name="_heading=h.1pxezwc" w:colFirst="0" w:colLast="0"/>
      <w:bookmarkEnd w:id="26"/>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7" w:name="_heading=h.49x2ik5" w:colFirst="0" w:colLast="0"/>
      <w:bookmarkStart w:id="28" w:name="_heading=h.2p2csry" w:colFirst="0" w:colLast="0"/>
      <w:bookmarkStart w:id="29" w:name="_heading=h.23ckvvd" w:colFirst="0" w:colLast="0"/>
      <w:bookmarkStart w:id="30" w:name="_heading=h.ihv636" w:colFirst="0" w:colLast="0"/>
      <w:bookmarkStart w:id="31" w:name="_heading=h.32hioqz" w:colFirst="0" w:colLast="0"/>
      <w:bookmarkStart w:id="32" w:name="_heading=h.1hmsyys" w:colFirst="0" w:colLast="0"/>
      <w:bookmarkStart w:id="33" w:name="_heading=h.41mghml" w:colFirst="0" w:colLast="0"/>
      <w:bookmarkStart w:id="34" w:name="_heading=h.vx1227" w:colFirst="0" w:colLast="0"/>
      <w:bookmarkStart w:id="35" w:name="_heading=h.3fwokq0" w:colFirst="0" w:colLast="0"/>
      <w:bookmarkStart w:id="36" w:name="_heading=h.nmf14n" w:colFirst="0" w:colLast="0"/>
      <w:bookmarkEnd w:id="27"/>
      <w:bookmarkEnd w:id="28"/>
      <w:bookmarkEnd w:id="29"/>
      <w:bookmarkEnd w:id="30"/>
      <w:bookmarkEnd w:id="31"/>
      <w:bookmarkEnd w:id="32"/>
      <w:bookmarkEnd w:id="33"/>
      <w:bookmarkEnd w:id="34"/>
      <w:bookmarkEnd w:id="35"/>
      <w:bookmarkEnd w:id="36"/>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7" w:name="_heading=h.37m2jsg" w:colFirst="0" w:colLast="0"/>
      <w:bookmarkEnd w:id="37"/>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8"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8"/>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5E6130F6"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9B31A3">
        <w:rPr>
          <w:rFonts w:asciiTheme="majorBidi" w:hAnsiTheme="majorBidi" w:cstheme="majorBidi"/>
          <w:b/>
          <w:sz w:val="32"/>
          <w:szCs w:val="32"/>
        </w:rPr>
        <w:t xml:space="preserve">Cisco </w:t>
      </w:r>
      <w:proofErr w:type="spellStart"/>
      <w:r w:rsidR="009B31A3">
        <w:rPr>
          <w:rFonts w:asciiTheme="majorBidi" w:hAnsiTheme="majorBidi" w:cstheme="majorBidi"/>
          <w:b/>
          <w:sz w:val="32"/>
          <w:szCs w:val="32"/>
        </w:rPr>
        <w:t>EoL</w:t>
      </w:r>
      <w:proofErr w:type="spellEnd"/>
      <w:r w:rsidR="009B31A3">
        <w:rPr>
          <w:rFonts w:asciiTheme="majorBidi" w:hAnsiTheme="majorBidi" w:cstheme="majorBidi"/>
          <w:b/>
          <w:sz w:val="32"/>
          <w:szCs w:val="32"/>
        </w:rPr>
        <w:t xml:space="preserve"> Devices Replacement</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71D431A8" w:rsidR="002D1E6B" w:rsidRDefault="003E4A57">
            <w:pPr>
              <w:spacing w:line="276" w:lineRule="auto"/>
              <w:rPr>
                <w:rFonts w:asciiTheme="majorBidi" w:hAnsiTheme="majorBidi" w:cstheme="majorBidi"/>
                <w:rtl/>
                <w:lang w:bidi="ar-LB"/>
              </w:rPr>
            </w:pPr>
            <w:bookmarkStart w:id="39" w:name="_Hlk168038641"/>
            <w:r w:rsidRPr="003E4A57">
              <w:rPr>
                <w:rFonts w:asciiTheme="majorBidi" w:hAnsiTheme="majorBidi" w:cs="Times New Roman"/>
                <w:rtl/>
                <w:lang w:bidi="ar-LB"/>
              </w:rPr>
              <w:t>مليون ليرة لبنانية</w:t>
            </w:r>
            <w:bookmarkEnd w:id="39"/>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08B6"/>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E4A57"/>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3BDD"/>
    <w:rsid w:val="004E40E3"/>
    <w:rsid w:val="004E4EE7"/>
    <w:rsid w:val="004F06A1"/>
    <w:rsid w:val="004F319F"/>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094C"/>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5D7"/>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1DC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32DEA"/>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4845"/>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31A3"/>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94C"/>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465386445">
      <w:bodyDiv w:val="1"/>
      <w:marLeft w:val="0"/>
      <w:marRight w:val="0"/>
      <w:marTop w:val="0"/>
      <w:marBottom w:val="0"/>
      <w:divBdr>
        <w:top w:val="none" w:sz="0" w:space="0" w:color="auto"/>
        <w:left w:val="none" w:sz="0" w:space="0" w:color="auto"/>
        <w:bottom w:val="none" w:sz="0" w:space="0" w:color="auto"/>
        <w:right w:val="none" w:sz="0" w:space="0" w:color="auto"/>
      </w:divBdr>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15</Pages>
  <Words>4438</Words>
  <Characters>25298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18</cp:revision>
  <cp:lastPrinted>2022-11-30T08:47:00Z</cp:lastPrinted>
  <dcterms:created xsi:type="dcterms:W3CDTF">2024-03-07T10:27:00Z</dcterms:created>
  <dcterms:modified xsi:type="dcterms:W3CDTF">2024-06-05T10:54:00Z</dcterms:modified>
</cp:coreProperties>
</file>